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d30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18"/>
        </w:tabs>
        <w:spacing w:line="266" w:lineRule="auto"/>
        <w:ind w:left="51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rPr>
          <w:color w:val="2e75b5"/>
        </w:rPr>
      </w:pPr>
      <w:r w:rsidDel="00000000" w:rsidR="00000000" w:rsidRPr="00000000">
        <w:rPr>
          <w:b w:val="1"/>
          <w:color w:val="2e75b5"/>
          <w:rtl w:val="0"/>
        </w:rPr>
        <w:t xml:space="preserve">СОЦИЈАЛНИ УСЛУГИ ШТО СЕ ОБЕЗБЕДУВААТ ПРЕКУ СИСТЕМОТ НА СОЦИЈАЛНАТА ЗАШТИТА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Во системот на социјална заштита спаѓаат следниве услуги:</w:t>
      </w:r>
    </w:p>
    <w:p w:rsidR="00000000" w:rsidDel="00000000" w:rsidP="00000000" w:rsidRDefault="00000000" w:rsidRPr="00000000" w14:paraId="00000006">
      <w:pPr>
        <w:widowControl w:val="1"/>
        <w:numPr>
          <w:ilvl w:val="0"/>
          <w:numId w:val="1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Услуги на информирање и упатување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Услуги на стручна помош и поддршка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Услуги на советување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Услуги во домот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Услуги во заедницата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Услуги за вонсемејна заштита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48.00000000000001" w:before="0" w:lineRule="auto"/>
        <w:rPr/>
      </w:pPr>
      <w:r w:rsidDel="00000000" w:rsidR="00000000" w:rsidRPr="00000000">
        <w:rPr>
          <w:rtl w:val="0"/>
        </w:rPr>
        <w:t xml:space="preserve">Услуги за вонсемејна заштита</w:t>
      </w:r>
    </w:p>
    <w:p w:rsidR="00000000" w:rsidDel="00000000" w:rsidP="00000000" w:rsidRDefault="00000000" w:rsidRPr="00000000" w14:paraId="0000000D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Со услуги на вонсемејна заштита се обезбедува основна заштита, која опфаќа: сместување, помош и поддршка од стручни лица, згрижување, исхрана, облека, здравствена заштита и други услуги во зависност од видот на корисниците, кои немаат услови за живеење во своето семејство или од други причини им е потребна вонсемејна заштита.</w:t>
      </w:r>
    </w:p>
    <w:p w:rsidR="00000000" w:rsidDel="00000000" w:rsidP="00000000" w:rsidRDefault="00000000" w:rsidRPr="00000000" w14:paraId="0000000E">
      <w:pPr>
        <w:spacing w:after="48.00000000000001" w:lineRule="auto"/>
        <w:rPr/>
      </w:pPr>
      <w:r w:rsidDel="00000000" w:rsidR="00000000" w:rsidRPr="00000000">
        <w:rPr>
          <w:b w:val="1"/>
          <w:rtl w:val="0"/>
        </w:rPr>
        <w:t xml:space="preserve">Типови на вонсемејна заштита: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Живеење со поддршка / мал групен дом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Згрижување во друго семејство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Сместување во установа</w:t>
      </w:r>
    </w:p>
    <w:p w:rsidR="00000000" w:rsidDel="00000000" w:rsidP="00000000" w:rsidRDefault="00000000" w:rsidRPr="00000000" w14:paraId="00000012">
      <w:pPr>
        <w:spacing w:after="48.00000000000001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after="48.00000000000001" w:before="0" w:lineRule="auto"/>
        <w:rPr/>
      </w:pPr>
      <w:r w:rsidDel="00000000" w:rsidR="00000000" w:rsidRPr="00000000">
        <w:rPr>
          <w:rtl w:val="0"/>
        </w:rPr>
        <w:t xml:space="preserve">На оваа страница ќе се фокусираме на објаснување на процесот и потребните чекори за добивање </w:t>
      </w:r>
      <w:r w:rsidDel="00000000" w:rsidR="00000000" w:rsidRPr="00000000">
        <w:rPr>
          <w:b w:val="1"/>
          <w:rtl w:val="0"/>
        </w:rPr>
        <w:t xml:space="preserve">дозвола за давање социјални услуги</w:t>
      </w:r>
      <w:r w:rsidDel="00000000" w:rsidR="00000000" w:rsidRPr="00000000">
        <w:rPr>
          <w:rtl w:val="0"/>
        </w:rPr>
        <w:t xml:space="preserve">, согласно Законот за социјална заштита и релевантните подзаконски акти — со посебен фокус на услугата </w:t>
      </w:r>
      <w:r w:rsidDel="00000000" w:rsidR="00000000" w:rsidRPr="00000000">
        <w:rPr>
          <w:b w:val="1"/>
          <w:rtl w:val="0"/>
        </w:rPr>
        <w:t xml:space="preserve">живеење со поддршка / мал групен дом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pStyle w:val="Heading3"/>
        <w:spacing w:after="48.00000000000001" w:before="0" w:lineRule="auto"/>
        <w:rPr/>
      </w:pPr>
      <w:r w:rsidDel="00000000" w:rsidR="00000000" w:rsidRPr="00000000">
        <w:rPr>
          <w:rtl w:val="0"/>
        </w:rPr>
        <w:t xml:space="preserve">Живеење со поддршка / Мал групен дом</w:t>
      </w:r>
    </w:p>
    <w:p w:rsidR="00000000" w:rsidDel="00000000" w:rsidP="00000000" w:rsidRDefault="00000000" w:rsidRPr="00000000" w14:paraId="00000015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Оваа услуга се обезбедува во посебна станбена единица со поддршка од стручни или други лица за извршување на основни и инструментални активности во секојдневниот живот. Поддршката може да биде: повремена, дневна или 24-часовна, во зависност од потребите на корисникот.</w:t>
      </w:r>
    </w:p>
    <w:p w:rsidR="00000000" w:rsidDel="00000000" w:rsidP="00000000" w:rsidRDefault="00000000" w:rsidRPr="00000000" w14:paraId="00000016">
      <w:pPr>
        <w:spacing w:after="48.00000000000001" w:lineRule="auto"/>
        <w:rPr/>
      </w:pPr>
      <w:r w:rsidDel="00000000" w:rsidR="00000000" w:rsidRPr="00000000">
        <w:rPr>
          <w:b w:val="1"/>
          <w:rtl w:val="0"/>
        </w:rPr>
        <w:t xml:space="preserve">Корисници</w:t>
      </w:r>
      <w:r w:rsidDel="00000000" w:rsidR="00000000" w:rsidRPr="00000000">
        <w:rPr>
          <w:rtl w:val="0"/>
        </w:rPr>
        <w:t xml:space="preserve"> се лица со попреченост или деца без родители или родителска грижа постари од 14 години, најдоцна до завршување на средно образование, со цел оспособување за самостоен живот и интеграција во општеството.</w:t>
      </w:r>
    </w:p>
    <w:p w:rsidR="00000000" w:rsidDel="00000000" w:rsidP="00000000" w:rsidRDefault="00000000" w:rsidRPr="00000000" w14:paraId="00000017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Во една станбена единица може да бидат сместени најмногу </w:t>
      </w:r>
      <w:r w:rsidDel="00000000" w:rsidR="00000000" w:rsidRPr="00000000">
        <w:rPr>
          <w:b w:val="1"/>
          <w:rtl w:val="0"/>
        </w:rPr>
        <w:t xml:space="preserve">5 лица со попреченост</w:t>
      </w:r>
      <w:r w:rsidDel="00000000" w:rsidR="00000000" w:rsidRPr="00000000">
        <w:rPr>
          <w:rtl w:val="0"/>
        </w:rPr>
        <w:t xml:space="preserve">, или </w:t>
      </w:r>
      <w:r w:rsidDel="00000000" w:rsidR="00000000" w:rsidRPr="00000000">
        <w:rPr>
          <w:b w:val="1"/>
          <w:rtl w:val="0"/>
        </w:rPr>
        <w:t xml:space="preserve">7 деца без родители или родителска грижа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48.00000000000001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8.00000000000001" w:lineRule="auto"/>
        <w:rPr/>
      </w:pPr>
      <w:r w:rsidDel="00000000" w:rsidR="00000000" w:rsidRPr="00000000">
        <w:rPr>
          <w:b w:val="1"/>
          <w:rtl w:val="0"/>
        </w:rPr>
        <w:t xml:space="preserve">За лиценцирање за оваа услуга, консултирајте ги следниве правилници: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3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Правилник за начинот и обемот на социјалните услуги, нормативите и стандардите за давање на социјалните услуги живеење со поддршка (Сл. весник бр. 264/19)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3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Правилник за изменување и дополнување на Правилникот за живеење со поддршка (Сл. весник бр. 34/23)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3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Правилник за начинот, видот и бројот на стручните лица, просторните услови и опремата за живеење во мал групен дом (Сл. весник бр. 139/09)</w:t>
      </w:r>
    </w:p>
    <w:p w:rsidR="00000000" w:rsidDel="00000000" w:rsidP="00000000" w:rsidRDefault="00000000" w:rsidRPr="00000000" w14:paraId="0000001D">
      <w:pPr>
        <w:pStyle w:val="Heading2"/>
        <w:spacing w:after="48.00000000000001" w:before="0" w:lineRule="auto"/>
        <w:rPr/>
      </w:pPr>
      <w:r w:rsidDel="00000000" w:rsidR="00000000" w:rsidRPr="00000000">
        <w:rPr>
          <w:b w:val="0"/>
          <w:rtl w:val="0"/>
        </w:rPr>
        <w:t xml:space="preserve">Што е потребно за да се добие дозвола за работа за давање социјална/и услуга/и?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За да се обезбеди квалитетна социјална заштита, потребно е: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Лиценцирање на даватели на социјални услуги на локално ниво,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Основaње јавни општински установи или Центри за социјални услуги, или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Пренесување на дел од надлежностите на здруженија и други лиценцирани правни и физички лица.</w:t>
      </w:r>
    </w:p>
    <w:p w:rsidR="00000000" w:rsidDel="00000000" w:rsidP="00000000" w:rsidRDefault="00000000" w:rsidRPr="00000000" w14:paraId="00000022">
      <w:pPr>
        <w:pStyle w:val="Heading3"/>
        <w:spacing w:after="48.00000000000001" w:before="0" w:lineRule="auto"/>
        <w:rPr/>
      </w:pPr>
      <w:r w:rsidDel="00000000" w:rsidR="00000000" w:rsidRPr="00000000">
        <w:rPr>
          <w:rtl w:val="0"/>
        </w:rPr>
        <w:t xml:space="preserve">Основни услови:</w:t>
      </w:r>
    </w:p>
    <w:p w:rsidR="00000000" w:rsidDel="00000000" w:rsidP="00000000" w:rsidRDefault="00000000" w:rsidRPr="00000000" w14:paraId="00000023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Министерството за труд и социјална политика (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MСПДМ</w:t>
      </w:r>
      <w:r w:rsidDel="00000000" w:rsidR="00000000" w:rsidRPr="00000000">
        <w:rPr>
          <w:rtl w:val="0"/>
        </w:rPr>
        <w:t xml:space="preserve">) издава дозвола врз основа на: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5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исполнување на </w:t>
      </w:r>
      <w:r w:rsidDel="00000000" w:rsidR="00000000" w:rsidRPr="00000000">
        <w:rPr>
          <w:b w:val="1"/>
          <w:rtl w:val="0"/>
        </w:rPr>
        <w:t xml:space="preserve">условите и стандардите</w:t>
      </w:r>
      <w:r w:rsidDel="00000000" w:rsidR="00000000" w:rsidRPr="00000000">
        <w:rPr>
          <w:rtl w:val="0"/>
        </w:rPr>
        <w:t xml:space="preserve"> од Законот за социјална заштита,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5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поднесување </w:t>
      </w:r>
      <w:r w:rsidDel="00000000" w:rsidR="00000000" w:rsidRPr="00000000">
        <w:rPr>
          <w:b w:val="1"/>
          <w:rtl w:val="0"/>
        </w:rPr>
        <w:t xml:space="preserve">барање со соодветна документација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5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почитување на </w:t>
      </w:r>
      <w:r w:rsidDel="00000000" w:rsidR="00000000" w:rsidRPr="00000000">
        <w:rPr>
          <w:b w:val="1"/>
          <w:rtl w:val="0"/>
        </w:rPr>
        <w:t xml:space="preserve">правилниците</w:t>
      </w:r>
      <w:r w:rsidDel="00000000" w:rsidR="00000000" w:rsidRPr="00000000">
        <w:rPr>
          <w:rtl w:val="0"/>
        </w:rPr>
        <w:t xml:space="preserve"> за видот, обемот, и квалитетот на услугите.</w:t>
      </w:r>
    </w:p>
    <w:p w:rsidR="00000000" w:rsidDel="00000000" w:rsidP="00000000" w:rsidRDefault="00000000" w:rsidRPr="00000000" w14:paraId="00000027">
      <w:pPr>
        <w:pStyle w:val="Heading3"/>
        <w:spacing w:after="48.00000000000001" w:before="0" w:lineRule="auto"/>
        <w:rPr/>
      </w:pPr>
      <w:r w:rsidDel="00000000" w:rsidR="00000000" w:rsidRPr="00000000">
        <w:rPr>
          <w:rtl w:val="0"/>
        </w:rPr>
        <w:t xml:space="preserve">Кој може да добие лиценца?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7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Здруженија,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7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Домашни и странски правни лица,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7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Физички лица.</w:t>
      </w:r>
    </w:p>
    <w:p w:rsidR="00000000" w:rsidDel="00000000" w:rsidP="00000000" w:rsidRDefault="00000000" w:rsidRPr="00000000" w14:paraId="0000002B">
      <w:pPr>
        <w:pStyle w:val="Heading3"/>
        <w:spacing w:after="48.00000000000001" w:before="0" w:lineRule="auto"/>
        <w:rPr/>
      </w:pPr>
      <w:r w:rsidDel="00000000" w:rsidR="00000000" w:rsidRPr="00000000">
        <w:rPr>
          <w:rtl w:val="0"/>
        </w:rPr>
        <w:t xml:space="preserve">Овластени даватели:</w:t>
      </w:r>
    </w:p>
    <w:p w:rsidR="00000000" w:rsidDel="00000000" w:rsidP="00000000" w:rsidRDefault="00000000" w:rsidRPr="00000000" w14:paraId="0000002C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Стануваат овластени по склучување </w:t>
      </w:r>
      <w:r w:rsidDel="00000000" w:rsidR="00000000" w:rsidRPr="00000000">
        <w:rPr>
          <w:b w:val="1"/>
          <w:rtl w:val="0"/>
        </w:rPr>
        <w:t xml:space="preserve">Управен договор</w:t>
      </w:r>
      <w:r w:rsidDel="00000000" w:rsidR="00000000" w:rsidRPr="00000000">
        <w:rPr>
          <w:rtl w:val="0"/>
        </w:rPr>
        <w:t xml:space="preserve"> со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MСПДМ </w:t>
      </w:r>
      <w:r w:rsidDel="00000000" w:rsidR="00000000" w:rsidRPr="00000000">
        <w:rPr>
          <w:color w:val="ffff00"/>
          <w:rtl w:val="0"/>
        </w:rPr>
        <w:t xml:space="preserve"> </w:t>
      </w:r>
      <w:r w:rsidDel="00000000" w:rsidR="00000000" w:rsidRPr="00000000">
        <w:rPr>
          <w:rtl w:val="0"/>
        </w:rPr>
        <w:t xml:space="preserve">или општината, и даваат услуги врз основа на </w:t>
      </w:r>
      <w:r w:rsidDel="00000000" w:rsidR="00000000" w:rsidRPr="00000000">
        <w:rPr>
          <w:b w:val="1"/>
          <w:rtl w:val="0"/>
        </w:rPr>
        <w:t xml:space="preserve">решение од Центарот за социјална работа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pStyle w:val="Heading2"/>
        <w:spacing w:after="48.00000000000001" w:before="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Како се аплицира за добивање дозвола за давање социјална услуга?</w:t>
      </w:r>
    </w:p>
    <w:p w:rsidR="00000000" w:rsidDel="00000000" w:rsidP="00000000" w:rsidRDefault="00000000" w:rsidRPr="00000000" w14:paraId="0000002E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Процесот за добивање дозвола за давање социјална услуга опфаќа неколку клучни чекори кои вклучуваат подготовка на документација, обезбедување на стручен кадар и опрема, како и поднесување барање до Министерството за труд и социјална политика. Секој чекор е прецизно дефиниран согласно законот и подзаконските акти и е важен за успешно лиценцирање.</w:t>
      </w:r>
    </w:p>
    <w:p w:rsidR="00000000" w:rsidDel="00000000" w:rsidP="00000000" w:rsidRDefault="00000000" w:rsidRPr="00000000" w14:paraId="0000002F">
      <w:pPr>
        <w:pStyle w:val="Heading3"/>
        <w:spacing w:after="48.00000000000001" w:before="0" w:lineRule="auto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Чекор 1: Подготовка на документација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8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Елаборат за простор, опрема и кадар</w:t>
      </w:r>
      <w:r w:rsidDel="00000000" w:rsidR="00000000" w:rsidRPr="00000000">
        <w:rPr>
          <w:rtl w:val="0"/>
        </w:rPr>
        <w:t xml:space="preserve"> според нормативите и стандардите.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8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Годишна програма за работа</w:t>
      </w:r>
      <w:r w:rsidDel="00000000" w:rsidR="00000000" w:rsidRPr="00000000">
        <w:rPr>
          <w:rtl w:val="0"/>
        </w:rPr>
        <w:t xml:space="preserve">, финансиски план, и план за работа во недискриминаторска средина.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8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Внатрешни процедури</w:t>
      </w:r>
      <w:r w:rsidDel="00000000" w:rsidR="00000000" w:rsidRPr="00000000">
        <w:rPr>
          <w:rtl w:val="0"/>
        </w:rPr>
        <w:t xml:space="preserve"> за евалуација на услуги и задоволство на корисници.</w:t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8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Кадар:</w:t>
      </w:r>
      <w:r w:rsidDel="00000000" w:rsidR="00000000" w:rsidRPr="00000000">
        <w:rPr>
          <w:rtl w:val="0"/>
        </w:rPr>
        <w:t xml:space="preserve"> кооринатор + стручни лица според типот на услугата (социјални работници, негуватели, асистенти).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8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Опрема:</w:t>
      </w:r>
      <w:r w:rsidDel="00000000" w:rsidR="00000000" w:rsidRPr="00000000">
        <w:rPr>
          <w:rtl w:val="0"/>
        </w:rPr>
        <w:t xml:space="preserve"> според правилник (пример: медицински прибор за нега во домот).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8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Барање за дозвола</w:t>
      </w:r>
      <w:r w:rsidDel="00000000" w:rsidR="00000000" w:rsidRPr="00000000">
        <w:rPr>
          <w:rtl w:val="0"/>
        </w:rPr>
        <w:t xml:space="preserve"> поднесено до Комисијата за лиценцирање.</w:t>
      </w:r>
    </w:p>
    <w:p w:rsidR="00000000" w:rsidDel="00000000" w:rsidP="00000000" w:rsidRDefault="00000000" w:rsidRPr="00000000" w14:paraId="00000036">
      <w:pPr>
        <w:pStyle w:val="Heading3"/>
        <w:spacing w:after="48.00000000000001" w:before="0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Чекор 2: Дополителна документација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9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Извод од Централен регистар (тековна состојба).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9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Договор за простор.</w:t>
      </w:r>
    </w:p>
    <w:p w:rsidR="00000000" w:rsidDel="00000000" w:rsidP="00000000" w:rsidRDefault="00000000" w:rsidRPr="00000000" w14:paraId="00000039">
      <w:pPr>
        <w:widowControl w:val="1"/>
        <w:numPr>
          <w:ilvl w:val="0"/>
          <w:numId w:val="9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Биографии, дипломи, договори со кадарот.</w:t>
      </w:r>
    </w:p>
    <w:p w:rsidR="00000000" w:rsidDel="00000000" w:rsidP="00000000" w:rsidRDefault="00000000" w:rsidRPr="00000000" w14:paraId="0000003A">
      <w:pPr>
        <w:widowControl w:val="1"/>
        <w:numPr>
          <w:ilvl w:val="0"/>
          <w:numId w:val="9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Доказ за опрема.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9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Список на стручен кадар.</w:t>
      </w:r>
    </w:p>
    <w:p w:rsidR="00000000" w:rsidDel="00000000" w:rsidP="00000000" w:rsidRDefault="00000000" w:rsidRPr="00000000" w14:paraId="0000003C">
      <w:pPr>
        <w:pStyle w:val="Heading3"/>
        <w:spacing w:after="48.00000000000001" w:before="0" w:lineRule="auto"/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Чекор 3: За веќе постоечка организација што првпат почнува со услуга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0"/>
        </w:numPr>
        <w:spacing w:after="48.00000000000001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Проширување на Статут</w:t>
      </w:r>
      <w:r w:rsidDel="00000000" w:rsidR="00000000" w:rsidRPr="00000000">
        <w:rPr>
          <w:rtl w:val="0"/>
        </w:rPr>
        <w:t xml:space="preserve"> (нова дејност).</w:t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10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Одлука за програма со вклучена социјална услуга.</w:t>
      </w:r>
    </w:p>
    <w:p w:rsidR="00000000" w:rsidDel="00000000" w:rsidP="00000000" w:rsidRDefault="00000000" w:rsidRPr="00000000" w14:paraId="0000003F">
      <w:pPr>
        <w:pStyle w:val="Heading3"/>
        <w:spacing w:after="48.00000000000001" w:before="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Чекор 4: За новооснована организација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1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Основачки акт и Статут.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1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Одлука за програма за работа со опфатена услуга.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1"/>
        </w:numPr>
        <w:spacing w:after="48.00000000000001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Напомена:</w:t>
      </w:r>
      <w:r w:rsidDel="00000000" w:rsidR="00000000" w:rsidRPr="00000000">
        <w:rPr>
          <w:rtl w:val="0"/>
        </w:rPr>
        <w:t xml:space="preserve"> Упис на нова дејност се врши по добивање дозвола.</w:t>
      </w:r>
    </w:p>
    <w:p w:rsidR="00000000" w:rsidDel="00000000" w:rsidP="00000000" w:rsidRDefault="00000000" w:rsidRPr="00000000" w14:paraId="00000043">
      <w:pPr>
        <w:pStyle w:val="Heading3"/>
        <w:spacing w:after="48.00000000000001" w:before="0" w:lineRule="auto"/>
        <w:rPr/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Чекор 5: Поднесување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2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Се поднесува во архива на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MСПДМ</w:t>
      </w:r>
    </w:p>
    <w:p w:rsidR="00000000" w:rsidDel="00000000" w:rsidP="00000000" w:rsidRDefault="00000000" w:rsidRPr="00000000" w14:paraId="00000045">
      <w:pPr>
        <w:widowControl w:val="1"/>
        <w:spacing w:after="48.00000000000001" w:lineRule="auto"/>
        <w:ind w:left="72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Министерство за социјална политика, демографија и млади</w:t>
      </w:r>
    </w:p>
    <w:p w:rsidR="00000000" w:rsidDel="00000000" w:rsidP="00000000" w:rsidRDefault="00000000" w:rsidRPr="00000000" w14:paraId="00000046">
      <w:pPr>
        <w:widowControl w:val="1"/>
        <w:spacing w:after="48.00000000000001" w:lineRule="auto"/>
        <w:ind w:left="0" w:firstLine="720"/>
        <w:rPr/>
      </w:pPr>
      <w:r w:rsidDel="00000000" w:rsidR="00000000" w:rsidRPr="00000000">
        <w:rPr>
          <w:rtl w:val="0"/>
        </w:rPr>
        <w:t xml:space="preserve">Комисија за лиценцирање даватели на социјални услуги</w:t>
        <w:br w:type="textWrapping"/>
        <w:tab/>
        <w:t xml:space="preserve">ул. Даме Груев бр. 14, 1000 Скопје</w:t>
      </w:r>
    </w:p>
    <w:p w:rsidR="00000000" w:rsidDel="00000000" w:rsidP="00000000" w:rsidRDefault="00000000" w:rsidRPr="00000000" w14:paraId="00000047">
      <w:pPr>
        <w:pStyle w:val="Heading3"/>
        <w:spacing w:after="48.00000000000001" w:before="0" w:lineRule="auto"/>
        <w:rPr/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✅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Чекор 6: Оценка и издавање дозвола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3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Комисијата прави увид и оценува исполнетост на условите.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3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При исполнети критериуми – се издава дозвола важечка </w:t>
      </w:r>
      <w:r w:rsidDel="00000000" w:rsidR="00000000" w:rsidRPr="00000000">
        <w:rPr>
          <w:b w:val="1"/>
          <w:rtl w:val="0"/>
        </w:rPr>
        <w:t xml:space="preserve">5 години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3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Комисијата врши </w:t>
      </w:r>
      <w:r w:rsidDel="00000000" w:rsidR="00000000" w:rsidRPr="00000000">
        <w:rPr>
          <w:b w:val="1"/>
          <w:rtl w:val="0"/>
        </w:rPr>
        <w:t xml:space="preserve">годишна проверка</w:t>
      </w:r>
      <w:r w:rsidDel="00000000" w:rsidR="00000000" w:rsidRPr="00000000">
        <w:rPr>
          <w:rtl w:val="0"/>
        </w:rPr>
        <w:t xml:space="preserve"> на квалитет и усогласеност со програмата.</w:t>
      </w:r>
    </w:p>
    <w:p w:rsidR="00000000" w:rsidDel="00000000" w:rsidP="00000000" w:rsidRDefault="00000000" w:rsidRPr="00000000" w14:paraId="0000004B">
      <w:pPr>
        <w:widowControl w:val="1"/>
        <w:spacing w:after="48.0000000000000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48.00000000000001" w:before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spacing w:after="48.00000000000001" w:before="0" w:lineRule="auto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48.00000000000001" w:before="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📄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Препорачани анекси и документи според Комисијата за лиценцирање на даватели на социјални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spacing w:after="48.00000000000001" w:before="0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spacing w:after="48.00000000000001" w:before="0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Основна документација за аплицирање за дозвола: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3171"/>
        <w:gridCol w:w="5669"/>
        <w:tblGridChange w:id="0">
          <w:tblGrid>
            <w:gridCol w:w="510"/>
            <w:gridCol w:w="3171"/>
            <w:gridCol w:w="566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48.00000000000001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48.00000000000001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Анекс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48.00000000000001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Опис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Барање за издавање дозвола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Формулар за официјално поднесување барање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Годишна програма за работа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Препорачан формат за план на активности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Елаборат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Детален опис на простор, кадар и опрема според нормативите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Годишен план за финансии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План за приход и расход (вкл. табела со предвидени трошоци)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Правилник 268/19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Услови за доделување средства на даватели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Методологија (264/19)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Начин на формирање на цени на услугите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Список за проверка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Контролна листа на потребна документација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8.00000000000001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Кореспондентна табела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48.00000000000001" w:lineRule="auto"/>
              <w:rPr/>
            </w:pPr>
            <w:r w:rsidDel="00000000" w:rsidR="00000000" w:rsidRPr="00000000">
              <w:rPr>
                <w:rtl w:val="0"/>
              </w:rPr>
              <w:t xml:space="preserve">Табела на врски НКВ Рев.1 – НКД Рев.2</w:t>
            </w:r>
          </w:p>
        </w:tc>
      </w:tr>
    </w:tbl>
    <w:p w:rsidR="00000000" w:rsidDel="00000000" w:rsidP="00000000" w:rsidRDefault="00000000" w:rsidRPr="00000000" w14:paraId="0000006D">
      <w:pPr>
        <w:spacing w:after="48.0000000000000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Исто табела – со линкови:</w:t>
      </w:r>
    </w:p>
    <w:tbl>
      <w:tblPr>
        <w:tblStyle w:val="Table2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9344"/>
        <w:tblGridChange w:id="0">
          <w:tblGrid>
            <w:gridCol w:w="93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numPr>
                <w:ilvl w:val="0"/>
                <w:numId w:val="6"/>
              </w:numPr>
              <w:ind w:left="600" w:hanging="360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1 Барање за издавање дозвола за вршење на работи од социјална заштита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numPr>
                <w:ilvl w:val="0"/>
                <w:numId w:val="17"/>
              </w:numPr>
              <w:ind w:left="600" w:hanging="360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2 Препорачан формат за Годишна програма за работа за давање на социјална услуга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numPr>
                <w:ilvl w:val="0"/>
                <w:numId w:val="19"/>
              </w:numPr>
              <w:ind w:left="600" w:hanging="360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3 Препорачан формат за ЕЛАБОРАТ (детален наративен опис) за простор, стручен кадар и опрема  согласно нормативите и стандардите за исполнетост на условите за почеток со работа и давање на социјалната услуга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20"/>
              </w:numPr>
              <w:ind w:left="600" w:hanging="360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4 Препорачан формат за Годишен план за обезбедување на финасиски и материјални средства за давање на социјалнa услугa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numPr>
                <w:ilvl w:val="1"/>
                <w:numId w:val="20"/>
              </w:numPr>
              <w:ind w:left="1200" w:hanging="360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4, точка 2-Предвидени расходи на годишно ниво</w:t>
              </w:r>
            </w:hyperlink>
            <w:hyperlink r:id="rId12">
              <w:r w:rsidDel="00000000" w:rsidR="00000000" w:rsidRPr="00000000">
                <w:rPr>
                  <w:rFonts w:ascii="Arial" w:cs="Arial" w:eastAsia="Arial" w:hAnsi="Arial"/>
                  <w:color w:val="b21e23"/>
                  <w:sz w:val="18"/>
                  <w:szCs w:val="18"/>
                  <w:rtl w:val="0"/>
                </w:rPr>
                <w:t xml:space="preserve"> (excel)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numPr>
                <w:ilvl w:val="0"/>
                <w:numId w:val="21"/>
              </w:numPr>
              <w:ind w:left="600" w:hanging="360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Анекс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numPr>
                <w:ilvl w:val="1"/>
                <w:numId w:val="21"/>
              </w:numPr>
              <w:ind w:left="1200" w:hanging="360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Правилник за поблиски услови за доделување на средства на здруженија и други приватни даватели на социјални услуги за давање на социјални услуги (268/19)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numPr>
                <w:ilvl w:val="1"/>
                <w:numId w:val="21"/>
              </w:numPr>
              <w:ind w:left="1200" w:hanging="360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Методологија за формирање на цените на услугите во зависност од стандардите и нормативите за давање на социјалната услуга (264/19)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numPr>
                <w:ilvl w:val="1"/>
                <w:numId w:val="21"/>
              </w:numPr>
              <w:ind w:left="1200" w:hanging="360"/>
              <w:jc w:val="both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Одлука за утврдување на цените на социјалните услуги во домот, за вон-семејна заштита, за стручна помош и поддршка, за дневен престој, за привремен престој, на советување и за одмена на семејна грижа за 2022 година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numPr>
                <w:ilvl w:val="0"/>
                <w:numId w:val="22"/>
              </w:numPr>
              <w:ind w:left="600" w:hanging="360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6 Листа за проверка на потребната документација за лиценцирање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23"/>
              </w:numPr>
              <w:ind w:left="600" w:hanging="360"/>
              <w:rPr>
                <w:rFonts w:ascii="Arial" w:cs="Arial" w:eastAsia="Arial" w:hAnsi="Arial"/>
                <w:color w:val="333333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1"/>
                  <w:color w:val="b21e23"/>
                  <w:sz w:val="18"/>
                  <w:szCs w:val="18"/>
                  <w:rtl w:val="0"/>
                </w:rPr>
                <w:t xml:space="preserve">Анекс 7 Коресподентна табела на врски НКВ Рев.1-НКД Рев.2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48.0000000000000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48.0000000000000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48.00000000000001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spacing w:after="48.00000000000001" w:before="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Проширување на капацитети (простор и кадар):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Ако здружението одлучи да го прошири капацитетот по добивање на дозволата, потребно е да достави:</w:t>
      </w:r>
    </w:p>
    <w:p w:rsidR="00000000" w:rsidDel="00000000" w:rsidP="00000000" w:rsidRDefault="00000000" w:rsidRPr="00000000" w14:paraId="0000007F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Елаборат за проширување (простор/кадар)</w:t>
      </w:r>
    </w:p>
    <w:p w:rsidR="00000000" w:rsidDel="00000000" w:rsidP="00000000" w:rsidRDefault="00000000" w:rsidRPr="00000000" w14:paraId="00000080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Годишна програма (ажурирана)</w:t>
      </w:r>
    </w:p>
    <w:p w:rsidR="00000000" w:rsidDel="00000000" w:rsidP="00000000" w:rsidRDefault="00000000" w:rsidRPr="00000000" w14:paraId="00000081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Годишен финансиски план (ажуриран)</w:t>
      </w:r>
    </w:p>
    <w:p w:rsidR="00000000" w:rsidDel="00000000" w:rsidP="00000000" w:rsidRDefault="00000000" w:rsidRPr="00000000" w14:paraId="00000082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Договор за дополнителен простор</w:t>
      </w:r>
    </w:p>
    <w:p w:rsidR="00000000" w:rsidDel="00000000" w:rsidP="00000000" w:rsidRDefault="00000000" w:rsidRPr="00000000" w14:paraId="00000083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Список на стручен и помошен кадар</w:t>
      </w:r>
    </w:p>
    <w:p w:rsidR="00000000" w:rsidDel="00000000" w:rsidP="00000000" w:rsidRDefault="00000000" w:rsidRPr="00000000" w14:paraId="00000084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Изјава за начин на ангажирање на дополнителен кадар</w:t>
      </w:r>
    </w:p>
    <w:p w:rsidR="00000000" w:rsidDel="00000000" w:rsidP="00000000" w:rsidRDefault="00000000" w:rsidRPr="00000000" w14:paraId="00000085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Договори за вработување</w:t>
      </w:r>
    </w:p>
    <w:p w:rsidR="00000000" w:rsidDel="00000000" w:rsidP="00000000" w:rsidRDefault="00000000" w:rsidRPr="00000000" w14:paraId="00000086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Дипломи, сертификати и кратки биографии</w:t>
      </w:r>
    </w:p>
    <w:p w:rsidR="00000000" w:rsidDel="00000000" w:rsidP="00000000" w:rsidRDefault="00000000" w:rsidRPr="00000000" w14:paraId="00000087">
      <w:pPr>
        <w:widowControl w:val="1"/>
        <w:numPr>
          <w:ilvl w:val="0"/>
          <w:numId w:val="14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Придружно писмо со образложение</w:t>
      </w:r>
    </w:p>
    <w:p w:rsidR="00000000" w:rsidDel="00000000" w:rsidP="00000000" w:rsidRDefault="00000000" w:rsidRPr="00000000" w14:paraId="00000088">
      <w:pPr>
        <w:spacing w:after="48.00000000000001" w:lineRule="auto"/>
        <w:jc w:val="right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spacing w:after="48.00000000000001" w:before="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📊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Редовни годишни обврски до Комисијата: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Се доставува </w:t>
      </w:r>
      <w:r w:rsidDel="00000000" w:rsidR="00000000" w:rsidRPr="00000000">
        <w:rPr>
          <w:b w:val="1"/>
          <w:rtl w:val="0"/>
        </w:rPr>
        <w:t xml:space="preserve">до 31 јануари</w:t>
      </w:r>
      <w:r w:rsidDel="00000000" w:rsidR="00000000" w:rsidRPr="00000000">
        <w:rPr>
          <w:rtl w:val="0"/>
        </w:rPr>
        <w:t xml:space="preserve"> секоја година:</w:t>
      </w:r>
    </w:p>
    <w:p w:rsidR="00000000" w:rsidDel="00000000" w:rsidP="00000000" w:rsidRDefault="00000000" w:rsidRPr="00000000" w14:paraId="0000008B">
      <w:pPr>
        <w:widowControl w:val="1"/>
        <w:numPr>
          <w:ilvl w:val="0"/>
          <w:numId w:val="15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Годишен извештај за спроведување на програмата</w:t>
      </w:r>
    </w:p>
    <w:p w:rsidR="00000000" w:rsidDel="00000000" w:rsidP="00000000" w:rsidRDefault="00000000" w:rsidRPr="00000000" w14:paraId="0000008C">
      <w:pPr>
        <w:widowControl w:val="1"/>
        <w:numPr>
          <w:ilvl w:val="0"/>
          <w:numId w:val="15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Евалуациски извештај и мерки за подобрување</w:t>
      </w:r>
    </w:p>
    <w:p w:rsidR="00000000" w:rsidDel="00000000" w:rsidP="00000000" w:rsidRDefault="00000000" w:rsidRPr="00000000" w14:paraId="0000008D">
      <w:pPr>
        <w:widowControl w:val="1"/>
        <w:numPr>
          <w:ilvl w:val="0"/>
          <w:numId w:val="15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Список на вработени од АВРСМ</w:t>
      </w:r>
    </w:p>
    <w:p w:rsidR="00000000" w:rsidDel="00000000" w:rsidP="00000000" w:rsidRDefault="00000000" w:rsidRPr="00000000" w14:paraId="0000008E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Се доставува </w:t>
      </w:r>
      <w:r w:rsidDel="00000000" w:rsidR="00000000" w:rsidRPr="00000000">
        <w:rPr>
          <w:b w:val="1"/>
          <w:rtl w:val="0"/>
        </w:rPr>
        <w:t xml:space="preserve">до 30 март</w:t>
      </w:r>
      <w:r w:rsidDel="00000000" w:rsidR="00000000" w:rsidRPr="00000000">
        <w:rPr>
          <w:rtl w:val="0"/>
        </w:rPr>
        <w:t xml:space="preserve"> (само за јавни/приватни установи):</w:t>
      </w:r>
    </w:p>
    <w:p w:rsidR="00000000" w:rsidDel="00000000" w:rsidP="00000000" w:rsidRDefault="00000000" w:rsidRPr="00000000" w14:paraId="0000008F">
      <w:pPr>
        <w:widowControl w:val="1"/>
        <w:numPr>
          <w:ilvl w:val="0"/>
          <w:numId w:val="16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Биланс на состојби</w:t>
      </w:r>
    </w:p>
    <w:p w:rsidR="00000000" w:rsidDel="00000000" w:rsidP="00000000" w:rsidRDefault="00000000" w:rsidRPr="00000000" w14:paraId="00000090">
      <w:pPr>
        <w:widowControl w:val="1"/>
        <w:numPr>
          <w:ilvl w:val="0"/>
          <w:numId w:val="16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Биланс на успех</w:t>
      </w:r>
    </w:p>
    <w:p w:rsidR="00000000" w:rsidDel="00000000" w:rsidP="00000000" w:rsidRDefault="00000000" w:rsidRPr="00000000" w14:paraId="00000091">
      <w:pPr>
        <w:spacing w:after="48.00000000000001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spacing w:after="48.00000000000001" w:before="0" w:lineRule="auto"/>
        <w:rPr/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⚠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Дополнителни барања: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spacing w:after="280" w:before="280" w:lineRule="auto"/>
        <w:ind w:hanging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Лиценцираните или овластените даватели на услуги мора да водат уредна документација за: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• Корисниците на услугите (поединечни досиеја)</w:t>
        <w:br w:type="textWrapping"/>
        <w:t xml:space="preserve">• Кадарот (договори, работни улоги, квалификации)</w:t>
        <w:br w:type="textWrapping"/>
        <w:t xml:space="preserve">• Финансиска евиденција (целокупна сметководствена документација)</w:t>
        <w:br w:type="textWrapping"/>
        <w:t xml:space="preserve">• Мерење на задоволството на корисниците и евалуација на услугите</w:t>
        <w:br w:type="textWrapping"/>
        <w:t xml:space="preserve">• Извештаи за спроведување на годишната програма за работа</w:t>
        <w:br w:type="textWrapping"/>
        <w:t xml:space="preserve">• Документација поврзана со обезбедувањето на услугата одобрена од надлежниот Центар за социјална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Правилниците ги дефинираат конкретните видови на документација што се бараат за секоја социјална услуга.</w:t>
      </w:r>
    </w:p>
    <w:p w:rsidR="00000000" w:rsidDel="00000000" w:rsidP="00000000" w:rsidRDefault="00000000" w:rsidRPr="00000000" w14:paraId="00000095">
      <w:pPr>
        <w:spacing w:after="48.00000000000001" w:lineRule="auto"/>
        <w:ind w:left="-284" w:right="-279" w:firstLine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spacing w:after="48.00000000000001" w:before="0" w:lineRule="auto"/>
        <w:rPr/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❗</w:t>
          </w:r>
        </w:sdtContent>
      </w:sdt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Важно: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Министерството може да ја </w:t>
      </w:r>
      <w:r w:rsidDel="00000000" w:rsidR="00000000" w:rsidRPr="00000000">
        <w:rPr>
          <w:b w:val="1"/>
          <w:rtl w:val="0"/>
        </w:rPr>
        <w:t xml:space="preserve">забрани дејноста</w:t>
      </w:r>
      <w:r w:rsidDel="00000000" w:rsidR="00000000" w:rsidRPr="00000000">
        <w:rPr>
          <w:rtl w:val="0"/>
        </w:rPr>
        <w:t xml:space="preserve"> ако:</w:t>
      </w:r>
    </w:p>
    <w:p w:rsidR="00000000" w:rsidDel="00000000" w:rsidP="00000000" w:rsidRDefault="00000000" w:rsidRPr="00000000" w14:paraId="00000098">
      <w:pPr>
        <w:widowControl w:val="1"/>
        <w:numPr>
          <w:ilvl w:val="0"/>
          <w:numId w:val="18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Не се исполнети законските услови</w:t>
      </w:r>
    </w:p>
    <w:p w:rsidR="00000000" w:rsidDel="00000000" w:rsidP="00000000" w:rsidRDefault="00000000" w:rsidRPr="00000000" w14:paraId="00000099">
      <w:pPr>
        <w:widowControl w:val="1"/>
        <w:numPr>
          <w:ilvl w:val="0"/>
          <w:numId w:val="18"/>
        </w:numPr>
        <w:spacing w:after="48.00000000000001" w:lineRule="auto"/>
        <w:ind w:left="720" w:hanging="360"/>
        <w:rPr/>
      </w:pPr>
      <w:bookmarkStart w:colFirst="0" w:colLast="0" w:name="_heading=h.6ug9xbii0rkj" w:id="0"/>
      <w:bookmarkEnd w:id="0"/>
      <w:r w:rsidDel="00000000" w:rsidR="00000000" w:rsidRPr="00000000">
        <w:rPr>
          <w:rtl w:val="0"/>
        </w:rPr>
        <w:t xml:space="preserve">Има штетни последици за корисниците</w:t>
      </w:r>
    </w:p>
    <w:p w:rsidR="00000000" w:rsidDel="00000000" w:rsidP="00000000" w:rsidRDefault="00000000" w:rsidRPr="00000000" w14:paraId="0000009A">
      <w:pPr>
        <w:widowControl w:val="1"/>
        <w:numPr>
          <w:ilvl w:val="0"/>
          <w:numId w:val="18"/>
        </w:numPr>
        <w:spacing w:after="48.00000000000001" w:lineRule="auto"/>
        <w:ind w:left="720" w:hanging="360"/>
        <w:rPr/>
      </w:pPr>
      <w:r w:rsidDel="00000000" w:rsidR="00000000" w:rsidRPr="00000000">
        <w:rPr>
          <w:rtl w:val="0"/>
        </w:rPr>
        <w:t xml:space="preserve">Давателот не постапи по забелешки во даден рок</w:t>
      </w:r>
    </w:p>
    <w:p w:rsidR="00000000" w:rsidDel="00000000" w:rsidP="00000000" w:rsidRDefault="00000000" w:rsidRPr="00000000" w14:paraId="0000009B">
      <w:pPr>
        <w:spacing w:after="48.00000000000001" w:lineRule="auto"/>
        <w:rPr/>
      </w:pPr>
      <w:r w:rsidDel="00000000" w:rsidR="00000000" w:rsidRPr="00000000">
        <w:rPr>
          <w:rtl w:val="0"/>
        </w:rPr>
        <w:t xml:space="preserve">Жалба на решението може да се поднесе во рок од </w:t>
      </w:r>
      <w:r w:rsidDel="00000000" w:rsidR="00000000" w:rsidRPr="00000000">
        <w:rPr>
          <w:b w:val="1"/>
          <w:rtl w:val="0"/>
        </w:rPr>
        <w:t xml:space="preserve">15 дена</w:t>
      </w:r>
      <w:r w:rsidDel="00000000" w:rsidR="00000000" w:rsidRPr="00000000">
        <w:rPr>
          <w:rtl w:val="0"/>
        </w:rPr>
        <w:t xml:space="preserve"> до Државната комисија.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22"/>
          <w:szCs w:val="22"/>
          <w:u w:val="none"/>
          <w:shd w:fill="auto" w:val="clear"/>
          <w:vertAlign w:val="baseline"/>
          <w:rtl w:val="0"/>
        </w:rPr>
        <w:t xml:space="preserve">Овој Водич е подготвен со цел да го олесни процесот на лиценцирање за даватели на социјални услуги и да обезбеди јасни, практични насоки за исполнување на законските барања. Се препорачува давателите редовно да ги следат сите промени во релевантната регулатива и да бидат во постојана комуникација со Министерството за труд и социјална политика за навремено усогласување. Уредната и навремена документација е клучна за обезбедување квалитетна и одржлива социјална услуга.</w:t>
      </w:r>
    </w:p>
    <w:p w:rsidR="00000000" w:rsidDel="00000000" w:rsidP="00000000" w:rsidRDefault="00000000" w:rsidRPr="00000000" w14:paraId="0000009E">
      <w:pPr>
        <w:widowControl w:val="1"/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80" w:befor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1"/>
        <w:spacing w:after="280" w:before="2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footerReference r:id="rId1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Georgia"/>
  <w:font w:name="Arial"/>
  <w:font w:name="Arial Unicode MS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mk-M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90"/>
    </w:pPr>
    <w:rPr>
      <w:rFonts w:ascii="Trebuchet MS" w:cs="Trebuchet MS" w:eastAsia="Trebuchet MS" w:hAnsi="Trebuchet M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widowControl w:val="1"/>
      <w:spacing w:after="48.00000000000001" w:lineRule="auto"/>
    </w:pPr>
    <w:rPr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6B7D0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 w:val="1"/>
    <w:rsid w:val="006B7D05"/>
    <w:pPr>
      <w:ind w:left="490"/>
      <w:outlineLvl w:val="0"/>
    </w:pPr>
    <w:rPr>
      <w:rFonts w:ascii="Trebuchet MS" w:eastAsia="Trebuchet MS" w:hAnsi="Trebuchet MS"/>
      <w:b w:val="1"/>
      <w:bCs w:val="1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E65A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91D5F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7F2D8E"/>
    <w:pPr>
      <w:keepNext w:val="1"/>
      <w:widowControl w:val="1"/>
      <w:spacing w:after="48" w:afterLines="20"/>
      <w:outlineLvl w:val="3"/>
    </w:pPr>
    <w:rPr>
      <w:color w:val="2e74b5" w:themeColor="accent1" w:themeShade="0000BF"/>
      <w:lang w:val="mk-MK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6B7D05"/>
    <w:rPr>
      <w:rFonts w:ascii="Trebuchet MS" w:eastAsia="Trebuchet MS" w:hAnsi="Trebuchet MS"/>
      <w:b w:val="1"/>
      <w:bCs w:val="1"/>
    </w:rPr>
  </w:style>
  <w:style w:type="paragraph" w:styleId="BodyText">
    <w:name w:val="Body Text"/>
    <w:basedOn w:val="Normal"/>
    <w:link w:val="BodyTextChar"/>
    <w:uiPriority w:val="1"/>
    <w:qFormat w:val="1"/>
    <w:rsid w:val="006B7D05"/>
    <w:pPr>
      <w:ind w:left="480"/>
    </w:pPr>
    <w:rPr>
      <w:rFonts w:ascii="Arial Unicode MS" w:eastAsia="Arial Unicode MS" w:hAnsi="Arial Unicode MS"/>
    </w:rPr>
  </w:style>
  <w:style w:type="character" w:styleId="BodyTextChar" w:customStyle="1">
    <w:name w:val="Body Text Char"/>
    <w:basedOn w:val="DefaultParagraphFont"/>
    <w:link w:val="BodyText"/>
    <w:uiPriority w:val="1"/>
    <w:rsid w:val="006B7D05"/>
    <w:rPr>
      <w:rFonts w:ascii="Arial Unicode MS" w:eastAsia="Arial Unicode MS" w:hAnsi="Arial Unicode MS"/>
    </w:rPr>
  </w:style>
  <w:style w:type="character" w:styleId="Strong">
    <w:name w:val="Strong"/>
    <w:basedOn w:val="DefaultParagraphFont"/>
    <w:uiPriority w:val="22"/>
    <w:qFormat w:val="1"/>
    <w:rsid w:val="006B7D05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B7D05"/>
    <w:rPr>
      <w:color w:val="0000ff"/>
      <w:u w:val="single"/>
    </w:rPr>
  </w:style>
  <w:style w:type="paragraph" w:styleId="ListParagraph">
    <w:name w:val="List Paragraph"/>
    <w:basedOn w:val="Normal"/>
    <w:uiPriority w:val="1"/>
    <w:qFormat w:val="1"/>
    <w:rsid w:val="00B60CB5"/>
  </w:style>
  <w:style w:type="paragraph" w:styleId="TableParagraph" w:customStyle="1">
    <w:name w:val="Table Paragraph"/>
    <w:basedOn w:val="Normal"/>
    <w:uiPriority w:val="1"/>
    <w:qFormat w:val="1"/>
    <w:rsid w:val="00B60CB5"/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91D5F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E65AA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Emphasis">
    <w:name w:val="Emphasis"/>
    <w:basedOn w:val="DefaultParagraphFont"/>
    <w:uiPriority w:val="20"/>
    <w:qFormat w:val="1"/>
    <w:rsid w:val="00077702"/>
    <w:rPr>
      <w:i w:val="1"/>
      <w:iCs w:val="1"/>
    </w:rPr>
  </w:style>
  <w:style w:type="paragraph" w:styleId="BodyText2">
    <w:name w:val="Body Text 2"/>
    <w:basedOn w:val="Normal"/>
    <w:link w:val="BodyText2Char"/>
    <w:uiPriority w:val="99"/>
    <w:unhideWhenUsed w:val="1"/>
    <w:rsid w:val="004677B5"/>
    <w:pPr>
      <w:spacing w:after="100" w:afterAutospacing="1" w:before="100" w:beforeAutospacing="1"/>
      <w:jc w:val="both"/>
    </w:pPr>
    <w:rPr>
      <w:color w:val="2e74b5" w:themeColor="accent1" w:themeShade="0000BF"/>
    </w:rPr>
  </w:style>
  <w:style w:type="character" w:styleId="BodyText2Char" w:customStyle="1">
    <w:name w:val="Body Text 2 Char"/>
    <w:basedOn w:val="DefaultParagraphFont"/>
    <w:link w:val="BodyText2"/>
    <w:uiPriority w:val="99"/>
    <w:rsid w:val="004677B5"/>
    <w:rPr>
      <w:color w:val="2e74b5" w:themeColor="accent1" w:themeShade="0000BF"/>
    </w:rPr>
  </w:style>
  <w:style w:type="character" w:styleId="Heading4Char" w:customStyle="1">
    <w:name w:val="Heading 4 Char"/>
    <w:basedOn w:val="DefaultParagraphFont"/>
    <w:link w:val="Heading4"/>
    <w:uiPriority w:val="9"/>
    <w:rsid w:val="007F2D8E"/>
    <w:rPr>
      <w:color w:val="2e74b5" w:themeColor="accent1" w:themeShade="0000BF"/>
      <w:lang w:val="mk-MK"/>
    </w:rPr>
  </w:style>
  <w:style w:type="paragraph" w:styleId="Header">
    <w:name w:val="header"/>
    <w:basedOn w:val="Normal"/>
    <w:link w:val="HeaderChar"/>
    <w:uiPriority w:val="99"/>
    <w:unhideWhenUsed w:val="1"/>
    <w:rsid w:val="001C70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70D7"/>
  </w:style>
  <w:style w:type="paragraph" w:styleId="Footer">
    <w:name w:val="footer"/>
    <w:basedOn w:val="Normal"/>
    <w:link w:val="FooterChar"/>
    <w:uiPriority w:val="99"/>
    <w:unhideWhenUsed w:val="1"/>
    <w:rsid w:val="001C70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70D7"/>
  </w:style>
  <w:style w:type="paragraph" w:styleId="BodyText3">
    <w:name w:val="Body Text 3"/>
    <w:basedOn w:val="Normal"/>
    <w:link w:val="BodyText3Char"/>
    <w:uiPriority w:val="99"/>
    <w:unhideWhenUsed w:val="1"/>
    <w:rsid w:val="005903A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mk-MK"/>
    </w:rPr>
  </w:style>
  <w:style w:type="character" w:styleId="BodyText3Char" w:customStyle="1">
    <w:name w:val="Body Text 3 Char"/>
    <w:basedOn w:val="DefaultParagraphFont"/>
    <w:link w:val="BodyText3"/>
    <w:uiPriority w:val="99"/>
    <w:rsid w:val="005903A8"/>
    <w:rPr>
      <w:rFonts w:ascii="Times New Roman" w:cs="Times New Roman" w:eastAsia="Times New Roman" w:hAnsi="Times New Roman"/>
      <w:sz w:val="24"/>
      <w:szCs w:val="24"/>
      <w:lang w:val="mk-M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tsp.gov.mk/content/word/2022_akti/aneksi/%D0%90%D0%BD%D0%B5%D0%BA%D1%81%204%20%D0%9F%D1%80%D0%B5%D0%B4%D0%B2%D0%B8%D0%B4%D0%B5%D0%BD%D0%B8%20%D1%80%D0%B0%D1%81%D1%85%D0%BE%D0%B4%D0%B8%20%D0%BD%D0%B0%20%D0%B3%D0%BE%D0%B4%D0%B8%D1%88%D0%BD%D0%BE%20%D0%BD%D0%B8%D0%B2%D0%BE.xlsx" TargetMode="External"/><Relationship Id="rId10" Type="http://schemas.openxmlformats.org/officeDocument/2006/relationships/hyperlink" Target="https://www.mtsp.gov.mk/content/word/2022_akti/aneksi/%D0%90%D0%BD%D0%B5%D0%BA%D1%81%205_%D0%A4%D0%BE%D1%80%D0%BC%D0%B0%D1%82%20%D0%B7%D0%B0%20%D0%B3%D0%BE%D0%B4%D0%B8%D1%88%D0%BD%D0%B0%20%D0%BF%D1%80%D0%BE%D0%B3%D1%80%D0%B0%D0%BC%D0%B0%20%D0%B7%D0%B0%20%20%D0%BC%D0%B0%D1%82%D0%B5%D1%80%D0%B8%D1%98%D0%B0%D0%BB%D0%BD%D0%B8%20%D0%B8%20%D1%84%D0%B8%D0%BD%D0%B0%D1%81%D0%B8%D1%81%D0%BA%D0%B8%20%D1%81%D1%80%D0%B5%D0%B4%D1%81%D1%82%D0%B2%D0%B0_%D1%84%D0%B8%D0%BD%D0%B0%D0%BB%D0%B5%D0%BD.doc" TargetMode="External"/><Relationship Id="rId13" Type="http://schemas.openxmlformats.org/officeDocument/2006/relationships/hyperlink" Target="https://www.mtsp.gov.mk/content/pdf/2019pravilnici/27.12_pravilnik%20detska.pdf" TargetMode="External"/><Relationship Id="rId12" Type="http://schemas.openxmlformats.org/officeDocument/2006/relationships/hyperlink" Target="https://www.mtsp.gov.mk/content/word/2022_akti/aneksi/%D0%90%D0%BD%D0%B5%D0%BA%D1%81%204%20%D0%9F%D1%80%D0%B5%D0%B4%D0%B2%D0%B8%D0%B4%D0%B5%D0%BD%D0%B8%20%D1%80%D0%B0%D1%81%D1%85%D0%BE%D0%B4%D0%B8%20%D0%BD%D0%B0%20%D0%B3%D0%BE%D0%B4%D0%B8%D1%88%D0%BD%D0%BE%20%D0%BD%D0%B8%D0%B2%D0%BE.xls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tsp.gov.mk/content/word/2022_akti/aneksi/%D0%90%D0%BD%D0%B5%D0%BA%D1%81%203_%D0%A4%D0%BE%D1%80%D0%BC%D0%B0%D1%82%20%D0%B7%D0%B0%20%D0%95%D0%BB%D0%B0%D0%B1%D0%BE%D1%80%D0%B0%D1%82_%D1%84%D0%B8%D0%BD%D0%B0%D0%BB%D0%B5%D0%BD.doc" TargetMode="External"/><Relationship Id="rId15" Type="http://schemas.openxmlformats.org/officeDocument/2006/relationships/hyperlink" Target="https://mtsp.gov.mk/content/pdf/2022/odluka_2022_nova_maj.pdf" TargetMode="External"/><Relationship Id="rId14" Type="http://schemas.openxmlformats.org/officeDocument/2006/relationships/hyperlink" Target="https://mtsp.gov.mk/content/pdf/pravilnicisocijalna/2018/2019/Metodologija-socijala.pdf" TargetMode="External"/><Relationship Id="rId17" Type="http://schemas.openxmlformats.org/officeDocument/2006/relationships/hyperlink" Target="https://www.mtsp.gov.mk/content/word/2022_akti/aneksi/%D0%90%D0%BD%D0%B5%D0%BA%D1%81%207%20-%20%D0%9A%D0%BE%D1%80%D0%B5%D1%81%D0%BF%D0%BE%D0%B4%D0%B5%D0%BD%D1%82%D0%BD%D0%B0%20%D1%82%D0%B0%D0%B1%D0%B5%D0%BB%D0%B0%20%D0%BD%D0%B0%20%D0%B2%D1%80%D1%81%D0%BA%D0%B8%20%D0%9D%D0%9A%D0%94%20%D0%A0%D0%B5%D0%B2.%201%20%E2%80%93%20%D0%9D%D0%9A%D0%94%20%D0%A0%D0%B5%D0%B2.%202_form_final.doc" TargetMode="External"/><Relationship Id="rId16" Type="http://schemas.openxmlformats.org/officeDocument/2006/relationships/hyperlink" Target="https://www.mtsp.gov.mk/content/word/2022_akti/aneksi/%D0%90%D0%BD%D0%B5%D0%BA%D1%81%206%20-%20%D0%9B%D0%B8%D1%81%D1%82%D0%B0%20%D0%B7%D0%B0%20%D0%BF%D1%80%D0%BE%D0%B2%D0%B5%D1%80%D0%BA%D0%B0%20%D0%BD%D0%B0%20%D0%BF%D0%BE%D1%82%D1%80%D0%B5%D0%B1%D0%BD%D0%B0%D1%82%D0%B0%20%D0%B4%D0%BE%D0%BA%D1%83%D0%BC%D0%B5%D0%BD%D1%82%D0%B0%D1%86%D0%B8%D1%98%D0%B0%20%D0%B7%D0%B0%20%D0%BB%D0%B8%D1%86%D0%B5%D0%BD%D1%86%D0%B8%D1%80%D0%B0%D1%9A%D0%B5_form_final.doc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mtsp.gov.mk/content/word/2022_akti/aneksi/%D0%90%D0%BD%D0%B5%D0%BA%D1%81%201%20-%20%D0%91%D0%90%D0%A0%D0%90%D0%8A%D0%95%20%D0%B7%D0%B0%20%D0%B4%D0%BE%D0%B1%D0%B8%D0%B2%D0%B0%D1%9A%D0%B5%20%D0%BD%D0%B0%20%D0%B4%D0%BE%D0%B7%D0%B2%D0%BE%D0%BB%D0%B0%20%D0%B7%D0%B0%20%D0%B2%D1%80%D1%88%D0%B5%D1%9A%D0%B5%20%D1%80%D0%B0%D0%B1%D0%BE%D1%82%D0%B8%20%D0%BE%D0%B4%20%D1%81%D0%BE%D1%86%D0%B8%D1%98%D0%B0%D0%BB%D0%BD%D0%B0%20%D0%B7%D0%B0%D1%88%D1%82%D0%B8%D1%82%D0%B0.docx" TargetMode="External"/><Relationship Id="rId8" Type="http://schemas.openxmlformats.org/officeDocument/2006/relationships/hyperlink" Target="https://www.mtsp.gov.mk/content/word/2022_akti/aneksi/%D0%90%D0%BD%D0%B5%D0%BA%D1%81%202_%D0%A4%D0%BE%D1%80%D0%B0%D0%BC%D0%B0%20%D0%B7%D0%B0%20%D0%B3%D0%BE%D0%B4%D0%B8%D1%88%D0%BD%D0%B0%20%D1%81%D0%BE%D1%86%D0%B8%D1%98%D0%B0%D0%BB%D0%BD%D0%B0%20%D0%BF%D1%80%D0%BE%D1%80%D0%B0%D0%BC%D0%B0_%D1%84%D0%B8%D0%BD%D0%B0%D0%BB%D0%B5%D0%BD.d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vm8nBFWUY68UqxJJu+WnKurl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5oLjZ1Zzl4YmlpMHJrajgAciExcEF0bDl3aXhOanhob003d2YwcVl4WEE1YU9zeWpZS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2025-04-30T09:10:00Z</dcterms:created>
  <dc:creator>dell</dc:creator>
</cp:coreProperties>
</file>